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rsidTr="00A06425">
        <w:tc>
          <w:tcPr>
            <w:tcW w:w="15388" w:type="dxa"/>
            <w:gridSpan w:val="6"/>
            <w:shd w:val="clear" w:color="auto" w:fill="auto"/>
            <w:vAlign w:val="center"/>
          </w:tcPr>
          <w:p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0F4C1B">
              <w:rPr>
                <w:rFonts w:asciiTheme="minorHAnsi" w:hAnsiTheme="minorHAnsi" w:cstheme="minorHAnsi"/>
                <w:b/>
                <w:i/>
                <w:sz w:val="22"/>
                <w:szCs w:val="22"/>
              </w:rPr>
              <w:t xml:space="preserve"> Krajowa Polityka Miejska</w:t>
            </w:r>
          </w:p>
          <w:p w:rsidR="00A06425" w:rsidRPr="00A06425" w:rsidRDefault="00A06425" w:rsidP="00B871B6">
            <w:pPr>
              <w:spacing w:before="120" w:after="120"/>
              <w:rPr>
                <w:rFonts w:asciiTheme="minorHAnsi" w:hAnsiTheme="minorHAnsi" w:cstheme="minorHAnsi"/>
                <w:b/>
                <w:i/>
                <w:sz w:val="22"/>
                <w:szCs w:val="22"/>
              </w:rPr>
            </w:pPr>
          </w:p>
        </w:tc>
      </w:tr>
      <w:tr w:rsidR="00A06425" w:rsidRPr="00A06425" w:rsidTr="00A06425">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296E40" w:rsidRPr="00A06425" w:rsidTr="007C1687">
        <w:tc>
          <w:tcPr>
            <w:tcW w:w="562" w:type="dxa"/>
            <w:shd w:val="clear" w:color="auto" w:fill="auto"/>
          </w:tcPr>
          <w:p w:rsidR="00296E40" w:rsidRPr="00A06425" w:rsidRDefault="00296E40" w:rsidP="00296E40">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tcBorders>
              <w:top w:val="single" w:sz="4" w:space="0" w:color="auto"/>
              <w:left w:val="single" w:sz="4" w:space="0" w:color="auto"/>
              <w:bottom w:val="single" w:sz="4" w:space="0" w:color="auto"/>
              <w:right w:val="single" w:sz="4" w:space="0" w:color="auto"/>
            </w:tcBorders>
          </w:tcPr>
          <w:p w:rsidR="00296E40" w:rsidRDefault="00296E40" w:rsidP="00296E40">
            <w:pPr>
              <w:spacing w:before="60" w:after="60"/>
              <w:jc w:val="center"/>
              <w:rPr>
                <w:rFonts w:asciiTheme="minorHAnsi" w:hAnsiTheme="minorHAnsi" w:cstheme="minorHAnsi"/>
                <w:b/>
                <w:sz w:val="22"/>
                <w:szCs w:val="22"/>
              </w:rPr>
            </w:pPr>
            <w:r>
              <w:rPr>
                <w:rFonts w:asciiTheme="minorHAnsi" w:hAnsiTheme="minorHAnsi" w:cstheme="minorHAnsi"/>
                <w:b/>
                <w:sz w:val="22"/>
                <w:szCs w:val="22"/>
              </w:rPr>
              <w:t>MEiN</w:t>
            </w:r>
          </w:p>
        </w:tc>
        <w:tc>
          <w:tcPr>
            <w:tcW w:w="1843" w:type="dxa"/>
            <w:tcBorders>
              <w:top w:val="single" w:sz="4" w:space="0" w:color="auto"/>
              <w:left w:val="single" w:sz="4" w:space="0" w:color="auto"/>
              <w:bottom w:val="single" w:sz="4" w:space="0" w:color="auto"/>
              <w:right w:val="single" w:sz="4" w:space="0" w:color="auto"/>
            </w:tcBorders>
          </w:tcPr>
          <w:p w:rsidR="00296E40" w:rsidRDefault="00296E40" w:rsidP="00296E40">
            <w:pPr>
              <w:jc w:val="center"/>
              <w:rPr>
                <w:rFonts w:asciiTheme="minorHAnsi" w:hAnsiTheme="minorHAnsi" w:cstheme="minorHAnsi"/>
                <w:sz w:val="22"/>
                <w:szCs w:val="22"/>
              </w:rPr>
            </w:pPr>
            <w:r>
              <w:rPr>
                <w:rFonts w:asciiTheme="minorHAnsi" w:hAnsiTheme="minorHAnsi" w:cstheme="minorHAnsi"/>
                <w:sz w:val="22"/>
                <w:szCs w:val="22"/>
              </w:rPr>
              <w:t xml:space="preserve">Załącznik nr 2 – projekt dokumentu pn. „Krajowa Polityka Miejska 2030”. </w:t>
            </w:r>
          </w:p>
          <w:p w:rsidR="00296E40" w:rsidRDefault="00296E40" w:rsidP="00296E40">
            <w:pPr>
              <w:jc w:val="center"/>
              <w:rPr>
                <w:rFonts w:asciiTheme="minorHAnsi" w:hAnsiTheme="minorHAnsi" w:cstheme="minorHAnsi"/>
                <w:sz w:val="22"/>
                <w:szCs w:val="22"/>
              </w:rPr>
            </w:pPr>
          </w:p>
          <w:p w:rsidR="00296E40" w:rsidRDefault="00296E40" w:rsidP="00296E40">
            <w:pPr>
              <w:jc w:val="center"/>
              <w:rPr>
                <w:rFonts w:asciiTheme="minorHAnsi" w:hAnsiTheme="minorHAnsi" w:cstheme="minorHAnsi"/>
                <w:sz w:val="22"/>
                <w:szCs w:val="22"/>
              </w:rPr>
            </w:pPr>
            <w:r>
              <w:rPr>
                <w:rFonts w:asciiTheme="minorHAnsi" w:hAnsiTheme="minorHAnsi" w:cstheme="minorHAnsi"/>
                <w:sz w:val="22"/>
                <w:szCs w:val="22"/>
              </w:rPr>
              <w:t>7.10 Wyzwanie X: Zwiększenie wykorzystania potencjału społecznego.</w:t>
            </w:r>
          </w:p>
          <w:p w:rsidR="00296E40" w:rsidRDefault="00296E40" w:rsidP="00296E40">
            <w:pPr>
              <w:jc w:val="center"/>
              <w:rPr>
                <w:rFonts w:asciiTheme="minorHAnsi" w:hAnsiTheme="minorHAnsi" w:cstheme="minorHAnsi"/>
                <w:sz w:val="22"/>
                <w:szCs w:val="22"/>
              </w:rPr>
            </w:pPr>
            <w:r>
              <w:rPr>
                <w:rFonts w:asciiTheme="minorHAnsi" w:hAnsiTheme="minorHAnsi" w:cstheme="minorHAnsi"/>
                <w:sz w:val="22"/>
                <w:szCs w:val="22"/>
              </w:rPr>
              <w:t>Lit. B. Wzmocnienie systemu edukacji i kształcenia w miastach.</w:t>
            </w:r>
          </w:p>
        </w:tc>
        <w:tc>
          <w:tcPr>
            <w:tcW w:w="4678" w:type="dxa"/>
            <w:tcBorders>
              <w:top w:val="single" w:sz="4" w:space="0" w:color="auto"/>
              <w:left w:val="single" w:sz="4" w:space="0" w:color="auto"/>
              <w:bottom w:val="single" w:sz="4" w:space="0" w:color="auto"/>
              <w:right w:val="single" w:sz="4" w:space="0" w:color="auto"/>
            </w:tcBorders>
          </w:tcPr>
          <w:p w:rsidR="00296E40" w:rsidRDefault="00296E40" w:rsidP="00296E40">
            <w:pPr>
              <w:pStyle w:val="menfont"/>
              <w:spacing w:after="120"/>
              <w:jc w:val="both"/>
              <w:rPr>
                <w:rFonts w:asciiTheme="minorHAnsi" w:hAnsiTheme="minorHAnsi" w:cstheme="minorHAnsi"/>
                <w:sz w:val="22"/>
                <w:szCs w:val="22"/>
              </w:rPr>
            </w:pPr>
            <w:r>
              <w:rPr>
                <w:rFonts w:asciiTheme="minorHAnsi" w:hAnsiTheme="minorHAnsi" w:cstheme="minorHAnsi"/>
                <w:sz w:val="22"/>
                <w:szCs w:val="22"/>
              </w:rPr>
              <w:t xml:space="preserve">Uwaga dotyczy poniższego fragmentu tekstu –  </w:t>
            </w:r>
            <w:r>
              <w:rPr>
                <w:rFonts w:asciiTheme="minorHAnsi" w:hAnsiTheme="minorHAnsi" w:cstheme="minorHAnsi"/>
                <w:sz w:val="22"/>
                <w:szCs w:val="22"/>
              </w:rPr>
              <w:br/>
              <w:t>str. 120 (cyt.):</w:t>
            </w:r>
          </w:p>
          <w:p w:rsidR="00296E40" w:rsidRDefault="00296E40" w:rsidP="00296E40">
            <w:pPr>
              <w:pStyle w:val="menfont"/>
              <w:spacing w:after="120"/>
              <w:jc w:val="both"/>
              <w:rPr>
                <w:rFonts w:asciiTheme="minorHAnsi" w:hAnsiTheme="minorHAnsi" w:cstheme="minorHAnsi"/>
                <w:sz w:val="22"/>
                <w:szCs w:val="22"/>
              </w:rPr>
            </w:pPr>
            <w:r>
              <w:rPr>
                <w:rFonts w:asciiTheme="minorHAnsi" w:hAnsiTheme="minorHAnsi" w:cstheme="minorHAnsi"/>
                <w:sz w:val="22"/>
                <w:szCs w:val="22"/>
              </w:rPr>
              <w:t xml:space="preserve">„Problemem wielu miast, zwłaszcza mniejszych, jest deficyt pomocy psychologicznej szkołach. Obecnie uzyskanie pomocy psychologa przez uczniów wymaga często dojechania do miasta powiatowego, co stanowi istotną barierę dostępu. Standardem powinna być obecność psychologa (pełnoetatowa lub w formie dyżurów) w każdej placówce oświatowej, tak, by pomoc była łatwo dostępna dla uczniów niezależnie od miejsca zamieszkania i statusu społeczno-ekonomicznego rodziny. Szczególnie istotne jest, by psycholog był obecny w szkołach podstawowych, co wymaga zaangażowania ze strony ich organów prowadzących (gmin). Obecnie finansowanie poradni psychologiczno-pedagogicznych </w:t>
            </w:r>
            <w:r>
              <w:rPr>
                <w:rFonts w:asciiTheme="minorHAnsi" w:hAnsiTheme="minorHAnsi" w:cstheme="minorHAnsi"/>
                <w:sz w:val="22"/>
                <w:szCs w:val="22"/>
              </w:rPr>
              <w:br/>
              <w:t>(w ramach subwencji oświatowej) jest skierowane do samorządu powiatowego. Proponowane rozwiązanie wymaga zmian legislacyjnych będących w kompetencjach ministra właściwego ds. oświaty i wychowania.”.</w:t>
            </w:r>
          </w:p>
          <w:p w:rsidR="00296E40" w:rsidRDefault="00296E40" w:rsidP="00296E40">
            <w:pPr>
              <w:pStyle w:val="menfont"/>
              <w:spacing w:after="120"/>
              <w:jc w:val="both"/>
              <w:rPr>
                <w:rFonts w:asciiTheme="minorHAnsi" w:hAnsiTheme="minorHAnsi" w:cstheme="minorHAnsi"/>
                <w:sz w:val="22"/>
                <w:szCs w:val="22"/>
              </w:rPr>
            </w:pPr>
          </w:p>
        </w:tc>
        <w:tc>
          <w:tcPr>
            <w:tcW w:w="5812" w:type="dxa"/>
            <w:tcBorders>
              <w:top w:val="single" w:sz="4" w:space="0" w:color="auto"/>
              <w:left w:val="single" w:sz="4" w:space="0" w:color="auto"/>
              <w:bottom w:val="single" w:sz="4" w:space="0" w:color="auto"/>
              <w:right w:val="single" w:sz="4" w:space="0" w:color="auto"/>
            </w:tcBorders>
          </w:tcPr>
          <w:p w:rsidR="00296E40" w:rsidRDefault="00296E40" w:rsidP="00296E40">
            <w:pPr>
              <w:pStyle w:val="menfont"/>
              <w:spacing w:after="120"/>
              <w:jc w:val="both"/>
              <w:rPr>
                <w:rFonts w:asciiTheme="minorHAnsi" w:hAnsiTheme="minorHAnsi" w:cstheme="minorHAnsi"/>
                <w:sz w:val="22"/>
                <w:szCs w:val="22"/>
              </w:rPr>
            </w:pPr>
            <w:r>
              <w:rPr>
                <w:rFonts w:asciiTheme="minorHAnsi" w:hAnsiTheme="minorHAnsi" w:cstheme="minorHAnsi"/>
                <w:sz w:val="22"/>
                <w:szCs w:val="22"/>
              </w:rPr>
              <w:t xml:space="preserve">Ministerstwo Edukacji i Nauki podejmuje działania związane ze zwiększaniem dostępu do pomocy psychologiczno-pedagogicznej w szkołach. W bieżącym roku, od 1 marca publiczne i niepubliczne szkoły podstawowe, ponadpodstawowe i szkoły artystyczne realizujące kształcenie ogólne w zakresie szkoły podstawowej i liceum ogólnokształcącego mogą realizować zajęcia specjalistyczne </w:t>
            </w:r>
            <w:r>
              <w:rPr>
                <w:rFonts w:asciiTheme="minorHAnsi" w:hAnsiTheme="minorHAnsi" w:cstheme="minorHAnsi"/>
                <w:sz w:val="22"/>
                <w:szCs w:val="22"/>
              </w:rPr>
              <w:br/>
              <w:t xml:space="preserve">z zakresu pomocy psychologiczno-pedagogicznej </w:t>
            </w:r>
            <w:r>
              <w:rPr>
                <w:rFonts w:asciiTheme="minorHAnsi" w:hAnsiTheme="minorHAnsi" w:cstheme="minorHAnsi"/>
                <w:sz w:val="22"/>
                <w:szCs w:val="22"/>
              </w:rPr>
              <w:br/>
              <w:t>w dodatkowym wymiarze godzin</w:t>
            </w:r>
            <w:r>
              <w:rPr>
                <w:rStyle w:val="Odwoanieprzypisudolnego"/>
                <w:rFonts w:asciiTheme="minorHAnsi" w:hAnsiTheme="minorHAnsi" w:cstheme="minorHAnsi"/>
                <w:sz w:val="22"/>
                <w:szCs w:val="22"/>
              </w:rPr>
              <w:footnoteReference w:id="1"/>
            </w:r>
            <w:r>
              <w:rPr>
                <w:rFonts w:asciiTheme="minorHAnsi" w:hAnsiTheme="minorHAnsi" w:cstheme="minorHAnsi"/>
                <w:sz w:val="22"/>
                <w:szCs w:val="22"/>
              </w:rPr>
              <w:t xml:space="preserve">. Na ten cel zabezpieczono 180 mln zł. </w:t>
            </w:r>
          </w:p>
          <w:p w:rsidR="00296E40" w:rsidRDefault="00296E40" w:rsidP="00296E40">
            <w:pPr>
              <w:pStyle w:val="menfont"/>
              <w:spacing w:after="120"/>
              <w:jc w:val="both"/>
              <w:rPr>
                <w:rFonts w:asciiTheme="minorHAnsi" w:hAnsiTheme="minorHAnsi" w:cstheme="minorHAnsi"/>
                <w:sz w:val="22"/>
                <w:szCs w:val="22"/>
              </w:rPr>
            </w:pPr>
            <w:r>
              <w:rPr>
                <w:rFonts w:asciiTheme="minorHAnsi" w:hAnsiTheme="minorHAnsi" w:cstheme="minorHAnsi"/>
                <w:sz w:val="22"/>
                <w:szCs w:val="22"/>
              </w:rPr>
              <w:t>MEiN planuje także rozpoczęci</w:t>
            </w:r>
            <w:r w:rsidR="000E6CF6">
              <w:rPr>
                <w:rFonts w:asciiTheme="minorHAnsi" w:hAnsiTheme="minorHAnsi" w:cstheme="minorHAnsi"/>
                <w:sz w:val="22"/>
                <w:szCs w:val="22"/>
              </w:rPr>
              <w:t>e</w:t>
            </w:r>
            <w:r>
              <w:rPr>
                <w:rFonts w:asciiTheme="minorHAnsi" w:hAnsiTheme="minorHAnsi" w:cstheme="minorHAnsi"/>
                <w:sz w:val="22"/>
                <w:szCs w:val="22"/>
              </w:rPr>
              <w:t xml:space="preserve"> od 1 września 2022 r. wdrażanie pierwszego etapu standaryzacji zatrudniania </w:t>
            </w:r>
            <w:r>
              <w:rPr>
                <w:rFonts w:asciiTheme="minorHAnsi" w:hAnsiTheme="minorHAnsi" w:cstheme="minorHAnsi"/>
                <w:sz w:val="22"/>
                <w:szCs w:val="22"/>
              </w:rPr>
              <w:br/>
              <w:t xml:space="preserve">w przedszkolach i szkołach nauczycieli psychologów, pedagogów, logopedów, terapeutów pedagogicznych </w:t>
            </w:r>
            <w:r>
              <w:rPr>
                <w:rFonts w:asciiTheme="minorHAnsi" w:hAnsiTheme="minorHAnsi" w:cstheme="minorHAnsi"/>
                <w:sz w:val="22"/>
                <w:szCs w:val="22"/>
              </w:rPr>
              <w:br/>
              <w:t xml:space="preserve">i pedagogów specjalnych. Rozwiązania prawne w tym zakresie uwzględnione są w </w:t>
            </w:r>
            <w:r>
              <w:rPr>
                <w:rFonts w:asciiTheme="minorHAnsi" w:hAnsiTheme="minorHAnsi" w:cstheme="minorHAnsi"/>
                <w:i/>
                <w:sz w:val="22"/>
                <w:szCs w:val="22"/>
              </w:rPr>
              <w:t xml:space="preserve">projekcie ustawy o zmianie ustawy </w:t>
            </w:r>
            <w:r>
              <w:rPr>
                <w:rFonts w:asciiTheme="minorHAnsi" w:hAnsiTheme="minorHAnsi" w:cstheme="minorHAnsi"/>
                <w:i/>
                <w:sz w:val="22"/>
                <w:szCs w:val="22"/>
              </w:rPr>
              <w:br/>
              <w:t>o systemie oświaty oraz niektórych innych ustaw</w:t>
            </w:r>
            <w:r>
              <w:rPr>
                <w:rFonts w:asciiTheme="minorHAnsi" w:hAnsiTheme="minorHAnsi" w:cstheme="minorHAnsi"/>
                <w:sz w:val="22"/>
                <w:szCs w:val="22"/>
              </w:rPr>
              <w:t>, który obecnie jest procedowany w Senacie (Druk 2096)</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w:t>
            </w:r>
            <w:r>
              <w:rPr>
                <w:rFonts w:asciiTheme="minorHAnsi" w:hAnsiTheme="minorHAnsi" w:cstheme="minorHAnsi"/>
                <w:sz w:val="22"/>
                <w:szCs w:val="22"/>
              </w:rPr>
              <w:br/>
            </w:r>
            <w:r w:rsidR="000E6CF6">
              <w:rPr>
                <w:rFonts w:asciiTheme="minorHAnsi" w:hAnsiTheme="minorHAnsi" w:cstheme="minorHAnsi"/>
                <w:sz w:val="22"/>
                <w:szCs w:val="22"/>
              </w:rPr>
              <w:t>Projekt przewiduje, że w</w:t>
            </w:r>
            <w:r>
              <w:rPr>
                <w:rFonts w:asciiTheme="minorHAnsi" w:hAnsiTheme="minorHAnsi" w:cstheme="minorHAnsi"/>
                <w:sz w:val="22"/>
                <w:szCs w:val="22"/>
              </w:rPr>
              <w:t xml:space="preserve">ymiar zatrudnienia będzie uzależniony od liczby uczniów </w:t>
            </w:r>
            <w:r>
              <w:rPr>
                <w:rFonts w:asciiTheme="minorHAnsi" w:hAnsiTheme="minorHAnsi" w:cstheme="minorHAnsi"/>
                <w:sz w:val="22"/>
                <w:szCs w:val="22"/>
              </w:rPr>
              <w:br/>
              <w:t>w przedszkolu lub szkole. Na ten cel w 2022 roku zabezpieczono 520 mln zł.</w:t>
            </w:r>
          </w:p>
          <w:p w:rsidR="00296E40" w:rsidRDefault="00296E40" w:rsidP="00296E40">
            <w:pPr>
              <w:jc w:val="both"/>
              <w:rPr>
                <w:rFonts w:asciiTheme="minorHAnsi" w:hAnsiTheme="minorHAnsi" w:cstheme="minorHAnsi"/>
                <w:sz w:val="22"/>
                <w:szCs w:val="22"/>
              </w:rPr>
            </w:pPr>
          </w:p>
        </w:tc>
        <w:tc>
          <w:tcPr>
            <w:tcW w:w="1359" w:type="dxa"/>
          </w:tcPr>
          <w:p w:rsidR="00296E40" w:rsidRPr="00A06425" w:rsidRDefault="00296E40" w:rsidP="00296E40">
            <w:pPr>
              <w:jc w:val="center"/>
              <w:rPr>
                <w:rFonts w:asciiTheme="minorHAnsi" w:hAnsiTheme="minorHAnsi" w:cstheme="minorHAnsi"/>
                <w:sz w:val="22"/>
                <w:szCs w:val="22"/>
              </w:rPr>
            </w:pPr>
          </w:p>
        </w:tc>
      </w:tr>
      <w:tr w:rsidR="00296E40" w:rsidRPr="00A06425" w:rsidTr="00A06425">
        <w:tc>
          <w:tcPr>
            <w:tcW w:w="562" w:type="dxa"/>
            <w:shd w:val="clear" w:color="auto" w:fill="auto"/>
          </w:tcPr>
          <w:p w:rsidR="00296E40" w:rsidRPr="00A06425" w:rsidRDefault="00296E40" w:rsidP="00296E40">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2</w:t>
            </w:r>
          </w:p>
        </w:tc>
        <w:tc>
          <w:tcPr>
            <w:tcW w:w="1134" w:type="dxa"/>
            <w:shd w:val="clear" w:color="auto" w:fill="auto"/>
          </w:tcPr>
          <w:p w:rsidR="00296E40" w:rsidRPr="00A06425" w:rsidRDefault="00D2133B" w:rsidP="00296E40">
            <w:pPr>
              <w:spacing w:before="60" w:after="60"/>
              <w:jc w:val="center"/>
              <w:rPr>
                <w:rFonts w:asciiTheme="minorHAnsi" w:hAnsiTheme="minorHAnsi" w:cstheme="minorHAnsi"/>
                <w:b/>
                <w:sz w:val="22"/>
                <w:szCs w:val="22"/>
              </w:rPr>
            </w:pPr>
            <w:r>
              <w:rPr>
                <w:rFonts w:asciiTheme="minorHAnsi" w:hAnsiTheme="minorHAnsi" w:cstheme="minorHAnsi"/>
                <w:b/>
                <w:sz w:val="22"/>
                <w:szCs w:val="22"/>
              </w:rPr>
              <w:t>MEiN</w:t>
            </w:r>
          </w:p>
        </w:tc>
        <w:tc>
          <w:tcPr>
            <w:tcW w:w="1843" w:type="dxa"/>
            <w:shd w:val="clear" w:color="auto" w:fill="auto"/>
          </w:tcPr>
          <w:p w:rsidR="00296E40" w:rsidRDefault="00D2133B" w:rsidP="00296E40">
            <w:pPr>
              <w:jc w:val="center"/>
              <w:rPr>
                <w:rFonts w:asciiTheme="minorHAnsi" w:hAnsiTheme="minorHAnsi" w:cstheme="minorHAnsi"/>
                <w:sz w:val="22"/>
                <w:szCs w:val="22"/>
              </w:rPr>
            </w:pPr>
            <w:r>
              <w:rPr>
                <w:rFonts w:asciiTheme="minorHAnsi" w:hAnsiTheme="minorHAnsi" w:cstheme="minorHAnsi"/>
                <w:sz w:val="22"/>
                <w:szCs w:val="22"/>
              </w:rPr>
              <w:t>Rozdział „</w:t>
            </w:r>
            <w:r w:rsidRPr="00D2133B">
              <w:rPr>
                <w:rFonts w:asciiTheme="minorHAnsi" w:hAnsiTheme="minorHAnsi" w:cstheme="minorHAnsi"/>
                <w:sz w:val="22"/>
                <w:szCs w:val="22"/>
              </w:rPr>
              <w:t>7.11.2 Proponowane rozwiązania</w:t>
            </w:r>
            <w:r>
              <w:rPr>
                <w:rFonts w:asciiTheme="minorHAnsi" w:hAnsiTheme="minorHAnsi" w:cstheme="minorHAnsi"/>
                <w:sz w:val="22"/>
                <w:szCs w:val="22"/>
              </w:rPr>
              <w:t>”,</w:t>
            </w:r>
          </w:p>
          <w:p w:rsidR="00D2133B" w:rsidRPr="00A06425" w:rsidRDefault="00D2133B" w:rsidP="00296E40">
            <w:pPr>
              <w:jc w:val="center"/>
              <w:rPr>
                <w:rFonts w:asciiTheme="minorHAnsi" w:hAnsiTheme="minorHAnsi" w:cstheme="minorHAnsi"/>
                <w:sz w:val="22"/>
                <w:szCs w:val="22"/>
              </w:rPr>
            </w:pPr>
            <w:r>
              <w:rPr>
                <w:rFonts w:asciiTheme="minorHAnsi" w:hAnsiTheme="minorHAnsi" w:cstheme="minorHAnsi"/>
                <w:sz w:val="22"/>
                <w:szCs w:val="22"/>
              </w:rPr>
              <w:t>Podpunkt: „</w:t>
            </w:r>
            <w:r w:rsidRPr="00D2133B">
              <w:rPr>
                <w:rFonts w:asciiTheme="minorHAnsi" w:hAnsiTheme="minorHAnsi" w:cstheme="minorHAnsi"/>
                <w:sz w:val="22"/>
                <w:szCs w:val="22"/>
              </w:rPr>
              <w:t>B. Budowa kompetencji i świadomości w zakresie cyfryzacji wśród urzędników i mieszkańców</w:t>
            </w:r>
            <w:r>
              <w:rPr>
                <w:rFonts w:asciiTheme="minorHAnsi" w:hAnsiTheme="minorHAnsi" w:cstheme="minorHAnsi"/>
                <w:sz w:val="22"/>
                <w:szCs w:val="22"/>
              </w:rPr>
              <w:t>”, akapit na stronie 128</w:t>
            </w:r>
          </w:p>
        </w:tc>
        <w:tc>
          <w:tcPr>
            <w:tcW w:w="4678" w:type="dxa"/>
            <w:shd w:val="clear" w:color="auto" w:fill="auto"/>
          </w:tcPr>
          <w:p w:rsidR="00D2133B" w:rsidRDefault="00D2133B" w:rsidP="00D2133B">
            <w:pPr>
              <w:pStyle w:val="Default"/>
            </w:pPr>
            <w:r>
              <w:rPr>
                <w:rFonts w:asciiTheme="minorHAnsi" w:hAnsiTheme="minorHAnsi" w:cstheme="minorHAnsi"/>
                <w:sz w:val="22"/>
                <w:szCs w:val="22"/>
              </w:rPr>
              <w:t xml:space="preserve">Akapit: </w:t>
            </w:r>
          </w:p>
          <w:p w:rsidR="00D2133B" w:rsidRPr="00D2133B" w:rsidRDefault="00D2133B" w:rsidP="00D2133B">
            <w:pPr>
              <w:pStyle w:val="Default"/>
              <w:numPr>
                <w:ilvl w:val="0"/>
                <w:numId w:val="1"/>
              </w:numPr>
              <w:rPr>
                <w:i/>
                <w:sz w:val="22"/>
                <w:szCs w:val="22"/>
              </w:rPr>
            </w:pPr>
            <w:r w:rsidRPr="00D2133B">
              <w:rPr>
                <w:i/>
                <w:sz w:val="22"/>
                <w:szCs w:val="22"/>
              </w:rPr>
              <w:t xml:space="preserve">Wspieranie podstawowych umiejętności w zakresie ICT w szkołach (szkolenia w edukacji formalnej i nieformalnej, wdrożenie systemu oceny poziomu kompetencji cyfrowych wśród uczniów, na którego wynikach oparte będzie dalsze planowanie, promowanie wykorzystania ICT na wszystkich przedmiotach); </w:t>
            </w:r>
          </w:p>
          <w:p w:rsidR="00D2133B" w:rsidRDefault="00D2133B" w:rsidP="00D2133B">
            <w:pPr>
              <w:pStyle w:val="Default"/>
              <w:rPr>
                <w:sz w:val="22"/>
                <w:szCs w:val="22"/>
              </w:rPr>
            </w:pPr>
          </w:p>
          <w:p w:rsidR="00A27DDC" w:rsidRDefault="00D2133B" w:rsidP="00D2133B">
            <w:pPr>
              <w:pStyle w:val="Default"/>
              <w:rPr>
                <w:sz w:val="22"/>
                <w:szCs w:val="22"/>
              </w:rPr>
            </w:pPr>
            <w:r>
              <w:rPr>
                <w:sz w:val="22"/>
                <w:szCs w:val="22"/>
              </w:rPr>
              <w:t xml:space="preserve">wymaga przeformułowania.  </w:t>
            </w:r>
            <w:r w:rsidR="00A27DDC">
              <w:rPr>
                <w:sz w:val="22"/>
                <w:szCs w:val="22"/>
              </w:rPr>
              <w:t xml:space="preserve">Należy zwrócić uwagę, że rozwijanie umiejętności cyfrowych uczniów nie może opierać się tylko na szkoleniach (czyli działaniu doraźnym), lecz być działaniem systemowym. </w:t>
            </w:r>
            <w:r>
              <w:rPr>
                <w:sz w:val="22"/>
                <w:szCs w:val="22"/>
              </w:rPr>
              <w:t xml:space="preserve">Głównym celem na obecnym etapie rozwijania umiejętności cyfrowych w systemie oświaty nie są już podstawowe umiejętności cyfrowe.  Naczelnym założeniem obecnie realizowanej podstawy programowej jest przygotowanie uczniów do bycia cyfrowymi twórcami, a nie tylko odbiorcami i biernymi użytkownikami TIK. Jest to obecne zarówno w podstawie programowej informatyki (m.in. nauczanie programowania od klasy I szkoły podstawowej, rozwijanie myślenia </w:t>
            </w:r>
            <w:proofErr w:type="spellStart"/>
            <w:r>
              <w:rPr>
                <w:sz w:val="22"/>
                <w:szCs w:val="22"/>
              </w:rPr>
              <w:t>komputacyjnego</w:t>
            </w:r>
            <w:proofErr w:type="spellEnd"/>
            <w:r>
              <w:rPr>
                <w:sz w:val="22"/>
                <w:szCs w:val="22"/>
              </w:rPr>
              <w:t xml:space="preserve">, higieny cyfrowej, bezpiecznego poruszania się w świecie cyfrowym), jak i innych przedmiotów – zakłada się, ze rozwijanie umiejętności cyfrowych uczniów odbywa się nie tylko na informatyce, lecz także na innych zajęciach). Za działaniami w zakresie rozwijania umiejętności cyfrowych uczniów idą także działania obejmujące podnoszenie umiejętności cyfrowych nauczycieli – w </w:t>
            </w:r>
            <w:r w:rsidR="00A27DDC">
              <w:rPr>
                <w:sz w:val="22"/>
                <w:szCs w:val="22"/>
              </w:rPr>
              <w:t xml:space="preserve">szczególności w obszarze </w:t>
            </w:r>
            <w:proofErr w:type="spellStart"/>
            <w:r w:rsidR="00A27DDC">
              <w:rPr>
                <w:sz w:val="22"/>
                <w:szCs w:val="22"/>
              </w:rPr>
              <w:t>matodyki</w:t>
            </w:r>
            <w:proofErr w:type="spellEnd"/>
            <w:r w:rsidR="00A27DDC">
              <w:rPr>
                <w:sz w:val="22"/>
                <w:szCs w:val="22"/>
              </w:rPr>
              <w:t xml:space="preserve"> nauczania uwzględniającej TIK, rozbudowa bazy bezpłatnych narzędzi i zasobów cyfrowych, doposażanie szkół w niezbędny sprzęt. Obecne przepisy prawa, odnoszące się do oceniania uczniów umożliwiają </w:t>
            </w:r>
            <w:r w:rsidR="00A27DDC">
              <w:rPr>
                <w:sz w:val="22"/>
                <w:szCs w:val="22"/>
              </w:rPr>
              <w:lastRenderedPageBreak/>
              <w:t>już ocenę poziomu umiejętności cyfrowych ucznia przez nauczyciela.</w:t>
            </w:r>
          </w:p>
          <w:p w:rsidR="00A27DDC" w:rsidRDefault="00A27DDC" w:rsidP="00D2133B">
            <w:pPr>
              <w:pStyle w:val="Default"/>
              <w:rPr>
                <w:sz w:val="22"/>
                <w:szCs w:val="22"/>
              </w:rPr>
            </w:pPr>
            <w:r>
              <w:rPr>
                <w:sz w:val="22"/>
                <w:szCs w:val="22"/>
              </w:rPr>
              <w:t xml:space="preserve">Zdaniem MEiN istotnego znaczenia nabiera kwestia właściwego przygotowania osób zarządzających oświatą </w:t>
            </w:r>
            <w:r w:rsidR="001024C2">
              <w:rPr>
                <w:sz w:val="22"/>
                <w:szCs w:val="22"/>
              </w:rPr>
              <w:t xml:space="preserve">na terenie danego JST do właściwego wykorzystania potencjału TIK w prowadzonych przez siebie szkołach, dlatego, w ramach przyszłej perspektywy finansowej zaplanowano </w:t>
            </w:r>
            <w:r w:rsidR="001024C2" w:rsidRPr="001024C2">
              <w:rPr>
                <w:sz w:val="22"/>
                <w:szCs w:val="22"/>
              </w:rPr>
              <w:t>szkolenia dla kadry zarządzającej jednostek samorządu terytorialnego (JST) oraz pracowników odpowiedzialnych za realizację zadań oświatowych w JST w obszarze cyfrowego rozwoju oświaty  (strategiczne rozwiązania dotyczące cyfrowego rozwoju oświaty na terenie danej JST: wykorzystanie infr</w:t>
            </w:r>
            <w:r w:rsidR="00C3376F">
              <w:rPr>
                <w:sz w:val="22"/>
                <w:szCs w:val="22"/>
              </w:rPr>
              <w:t>a</w:t>
            </w:r>
            <w:bookmarkStart w:id="0" w:name="_GoBack"/>
            <w:bookmarkEnd w:id="0"/>
            <w:r w:rsidR="001024C2" w:rsidRPr="001024C2">
              <w:rPr>
                <w:sz w:val="22"/>
                <w:szCs w:val="22"/>
              </w:rPr>
              <w:t>struktury, środowiska  sieciowego oraz zasobów informatycznych do poprawy  jakości i innowacyjności kształcenia w prowadzonych szkołach, itp.)</w:t>
            </w:r>
          </w:p>
          <w:p w:rsidR="00296E40" w:rsidRPr="00A06425" w:rsidRDefault="00296E40" w:rsidP="00296E40">
            <w:pPr>
              <w:jc w:val="center"/>
              <w:rPr>
                <w:rFonts w:asciiTheme="minorHAnsi" w:hAnsiTheme="minorHAnsi" w:cstheme="minorHAnsi"/>
                <w:sz w:val="22"/>
                <w:szCs w:val="22"/>
              </w:rPr>
            </w:pPr>
          </w:p>
        </w:tc>
        <w:tc>
          <w:tcPr>
            <w:tcW w:w="5812" w:type="dxa"/>
            <w:shd w:val="clear" w:color="auto" w:fill="auto"/>
          </w:tcPr>
          <w:p w:rsidR="00296E40" w:rsidRDefault="00A27DDC" w:rsidP="00A27DDC">
            <w:pPr>
              <w:rPr>
                <w:rFonts w:asciiTheme="minorHAnsi" w:hAnsiTheme="minorHAnsi" w:cstheme="minorHAnsi"/>
                <w:sz w:val="22"/>
                <w:szCs w:val="22"/>
              </w:rPr>
            </w:pPr>
            <w:r>
              <w:rPr>
                <w:rFonts w:asciiTheme="minorHAnsi" w:hAnsiTheme="minorHAnsi" w:cstheme="minorHAnsi"/>
                <w:sz w:val="22"/>
                <w:szCs w:val="22"/>
              </w:rPr>
              <w:lastRenderedPageBreak/>
              <w:t>Propozycja zapisu:</w:t>
            </w:r>
          </w:p>
          <w:p w:rsidR="00A27DDC" w:rsidRPr="00D2133B" w:rsidRDefault="00A27DDC" w:rsidP="00A27DDC">
            <w:pPr>
              <w:pStyle w:val="Default"/>
              <w:numPr>
                <w:ilvl w:val="0"/>
                <w:numId w:val="1"/>
              </w:numPr>
              <w:rPr>
                <w:i/>
                <w:sz w:val="22"/>
                <w:szCs w:val="22"/>
              </w:rPr>
            </w:pPr>
            <w:r>
              <w:rPr>
                <w:rFonts w:asciiTheme="minorHAnsi" w:hAnsiTheme="minorHAnsi" w:cstheme="minorHAnsi"/>
                <w:sz w:val="22"/>
                <w:szCs w:val="22"/>
              </w:rPr>
              <w:t>„</w:t>
            </w:r>
            <w:r w:rsidRPr="00D2133B">
              <w:rPr>
                <w:i/>
                <w:sz w:val="22"/>
                <w:szCs w:val="22"/>
              </w:rPr>
              <w:t>Wspieranie</w:t>
            </w:r>
            <w:r>
              <w:rPr>
                <w:i/>
                <w:sz w:val="22"/>
                <w:szCs w:val="22"/>
              </w:rPr>
              <w:t xml:space="preserve"> rozwijania</w:t>
            </w:r>
            <w:r w:rsidRPr="00D2133B">
              <w:rPr>
                <w:i/>
                <w:sz w:val="22"/>
                <w:szCs w:val="22"/>
              </w:rPr>
              <w:t xml:space="preserve"> umiejętności</w:t>
            </w:r>
            <w:r>
              <w:rPr>
                <w:i/>
                <w:sz w:val="22"/>
                <w:szCs w:val="22"/>
              </w:rPr>
              <w:t xml:space="preserve"> cyfrowych</w:t>
            </w:r>
            <w:r w:rsidRPr="00D2133B">
              <w:rPr>
                <w:i/>
                <w:sz w:val="22"/>
                <w:szCs w:val="22"/>
              </w:rPr>
              <w:t xml:space="preserve"> </w:t>
            </w:r>
            <w:r>
              <w:rPr>
                <w:i/>
                <w:sz w:val="22"/>
                <w:szCs w:val="22"/>
              </w:rPr>
              <w:t xml:space="preserve">uczniów </w:t>
            </w:r>
            <w:r w:rsidRPr="00D2133B">
              <w:rPr>
                <w:i/>
                <w:sz w:val="22"/>
                <w:szCs w:val="22"/>
              </w:rPr>
              <w:t xml:space="preserve"> (</w:t>
            </w:r>
            <w:r>
              <w:rPr>
                <w:i/>
                <w:sz w:val="22"/>
                <w:szCs w:val="22"/>
              </w:rPr>
              <w:t xml:space="preserve">zarówno w ramach </w:t>
            </w:r>
            <w:r w:rsidRPr="00D2133B">
              <w:rPr>
                <w:i/>
                <w:sz w:val="22"/>
                <w:szCs w:val="22"/>
              </w:rPr>
              <w:t>edukacji formalnej</w:t>
            </w:r>
            <w:r>
              <w:rPr>
                <w:i/>
                <w:sz w:val="22"/>
                <w:szCs w:val="22"/>
              </w:rPr>
              <w:t>, jak</w:t>
            </w:r>
            <w:r w:rsidRPr="00D2133B">
              <w:rPr>
                <w:i/>
                <w:sz w:val="22"/>
                <w:szCs w:val="22"/>
              </w:rPr>
              <w:t xml:space="preserve"> i nieformalnej</w:t>
            </w:r>
            <w:r>
              <w:rPr>
                <w:i/>
                <w:sz w:val="22"/>
                <w:szCs w:val="22"/>
              </w:rPr>
              <w:t>)</w:t>
            </w:r>
            <w:r w:rsidRPr="00D2133B">
              <w:rPr>
                <w:i/>
                <w:sz w:val="22"/>
                <w:szCs w:val="22"/>
              </w:rPr>
              <w:t xml:space="preserve">, </w:t>
            </w:r>
          </w:p>
          <w:p w:rsidR="001024C2" w:rsidRPr="001024C2" w:rsidRDefault="001024C2" w:rsidP="001024C2">
            <w:pPr>
              <w:pStyle w:val="Default"/>
              <w:rPr>
                <w:i/>
                <w:sz w:val="22"/>
                <w:szCs w:val="22"/>
              </w:rPr>
            </w:pPr>
            <w:r w:rsidRPr="001024C2">
              <w:rPr>
                <w:rFonts w:asciiTheme="minorHAnsi" w:hAnsiTheme="minorHAnsi" w:cstheme="minorHAnsi"/>
                <w:i/>
                <w:sz w:val="22"/>
                <w:szCs w:val="22"/>
              </w:rPr>
              <w:t xml:space="preserve">Przygotowanie </w:t>
            </w:r>
            <w:r w:rsidRPr="001024C2">
              <w:rPr>
                <w:i/>
                <w:sz w:val="22"/>
                <w:szCs w:val="22"/>
              </w:rPr>
              <w:t xml:space="preserve">kadry zarządzającej jednostek samorządu terytorialnego (JST) oraz pracowników odpowiedzialnych za realizację zadań oświatowych w JST </w:t>
            </w:r>
            <w:r>
              <w:rPr>
                <w:i/>
                <w:sz w:val="22"/>
                <w:szCs w:val="22"/>
              </w:rPr>
              <w:t xml:space="preserve">do strategicznego planowania </w:t>
            </w:r>
            <w:r w:rsidRPr="001024C2">
              <w:rPr>
                <w:i/>
                <w:sz w:val="22"/>
                <w:szCs w:val="22"/>
              </w:rPr>
              <w:t xml:space="preserve">cyfrowego rozwoju oświaty  </w:t>
            </w:r>
            <w:r>
              <w:rPr>
                <w:i/>
                <w:sz w:val="22"/>
                <w:szCs w:val="22"/>
              </w:rPr>
              <w:t>na terenie danej JST.</w:t>
            </w:r>
          </w:p>
          <w:p w:rsidR="00A27DDC" w:rsidRDefault="00A27DDC" w:rsidP="00A27DDC">
            <w:pPr>
              <w:jc w:val="both"/>
              <w:rPr>
                <w:rFonts w:asciiTheme="minorHAnsi" w:hAnsiTheme="minorHAnsi" w:cstheme="minorHAnsi"/>
                <w:sz w:val="22"/>
                <w:szCs w:val="22"/>
              </w:rPr>
            </w:pPr>
          </w:p>
          <w:p w:rsidR="00A27DDC" w:rsidRPr="00A06425" w:rsidRDefault="00A27DDC" w:rsidP="00A27DDC">
            <w:pPr>
              <w:jc w:val="both"/>
              <w:rPr>
                <w:rFonts w:asciiTheme="minorHAnsi" w:hAnsiTheme="minorHAnsi" w:cstheme="minorHAnsi"/>
                <w:sz w:val="22"/>
                <w:szCs w:val="22"/>
              </w:rPr>
            </w:pPr>
          </w:p>
        </w:tc>
        <w:tc>
          <w:tcPr>
            <w:tcW w:w="1359" w:type="dxa"/>
          </w:tcPr>
          <w:p w:rsidR="00296E40" w:rsidRPr="00A06425" w:rsidRDefault="00296E40" w:rsidP="00296E40">
            <w:pPr>
              <w:jc w:val="center"/>
              <w:rPr>
                <w:rFonts w:asciiTheme="minorHAnsi" w:hAnsiTheme="minorHAnsi" w:cstheme="minorHAnsi"/>
                <w:sz w:val="22"/>
                <w:szCs w:val="22"/>
              </w:rPr>
            </w:pPr>
          </w:p>
        </w:tc>
      </w:tr>
      <w:tr w:rsidR="002539BE" w:rsidRPr="00A06425" w:rsidTr="00A06425">
        <w:tc>
          <w:tcPr>
            <w:tcW w:w="562" w:type="dxa"/>
            <w:shd w:val="clear" w:color="auto" w:fill="auto"/>
          </w:tcPr>
          <w:p w:rsidR="002539BE" w:rsidRPr="00A06425" w:rsidRDefault="002539BE" w:rsidP="002539BE">
            <w:pPr>
              <w:spacing w:before="120" w:after="120"/>
              <w:jc w:val="center"/>
              <w:rPr>
                <w:rFonts w:asciiTheme="minorHAnsi" w:hAnsiTheme="minorHAnsi" w:cstheme="minorHAnsi"/>
                <w:b/>
                <w:sz w:val="22"/>
                <w:szCs w:val="22"/>
              </w:rPr>
            </w:pPr>
            <w:r>
              <w:rPr>
                <w:rFonts w:asciiTheme="minorHAnsi" w:hAnsiTheme="minorHAnsi" w:cstheme="minorHAnsi"/>
                <w:b/>
                <w:sz w:val="22"/>
                <w:szCs w:val="22"/>
              </w:rPr>
              <w:t>3</w:t>
            </w:r>
          </w:p>
        </w:tc>
        <w:tc>
          <w:tcPr>
            <w:tcW w:w="1134" w:type="dxa"/>
            <w:shd w:val="clear" w:color="auto" w:fill="auto"/>
          </w:tcPr>
          <w:p w:rsidR="002539BE" w:rsidRPr="00DA3B18" w:rsidRDefault="002539BE" w:rsidP="002539BE">
            <w:pPr>
              <w:spacing w:before="60" w:after="60"/>
              <w:jc w:val="center"/>
              <w:rPr>
                <w:rFonts w:asciiTheme="minorHAnsi" w:hAnsiTheme="minorHAnsi" w:cstheme="minorHAnsi"/>
                <w:b/>
                <w:sz w:val="20"/>
                <w:szCs w:val="22"/>
              </w:rPr>
            </w:pPr>
            <w:r w:rsidRPr="00DA3B18">
              <w:rPr>
                <w:rFonts w:asciiTheme="minorHAnsi" w:hAnsiTheme="minorHAnsi" w:cstheme="minorHAnsi"/>
                <w:b/>
                <w:sz w:val="20"/>
                <w:szCs w:val="22"/>
              </w:rPr>
              <w:t>MEiN</w:t>
            </w:r>
          </w:p>
        </w:tc>
        <w:tc>
          <w:tcPr>
            <w:tcW w:w="1843" w:type="dxa"/>
            <w:shd w:val="clear" w:color="auto" w:fill="auto"/>
          </w:tcPr>
          <w:p w:rsidR="002539BE" w:rsidRPr="00DA3B18" w:rsidRDefault="002539BE" w:rsidP="002539BE">
            <w:pPr>
              <w:jc w:val="center"/>
              <w:rPr>
                <w:rFonts w:ascii="Calibri" w:hAnsi="Calibri" w:cs="Calibri"/>
                <w:sz w:val="22"/>
                <w:szCs w:val="22"/>
              </w:rPr>
            </w:pPr>
            <w:r w:rsidRPr="00DA3B18">
              <w:rPr>
                <w:rFonts w:ascii="Calibri" w:hAnsi="Calibri" w:cs="Calibri"/>
                <w:sz w:val="22"/>
                <w:szCs w:val="22"/>
              </w:rPr>
              <w:t>Załącznik nr 2 – projekt dokumentu pn. „Krajowa Polityka Miejska 2030”.</w:t>
            </w:r>
          </w:p>
          <w:p w:rsidR="002539BE" w:rsidRPr="00DA3B18" w:rsidRDefault="002539BE" w:rsidP="002539BE">
            <w:pPr>
              <w:jc w:val="center"/>
              <w:rPr>
                <w:rFonts w:ascii="Calibri" w:hAnsi="Calibri" w:cs="Calibri"/>
                <w:sz w:val="22"/>
                <w:szCs w:val="22"/>
              </w:rPr>
            </w:pPr>
          </w:p>
          <w:p w:rsidR="002539BE" w:rsidRPr="00DA3B18" w:rsidRDefault="002539BE" w:rsidP="002539BE">
            <w:pPr>
              <w:jc w:val="center"/>
              <w:rPr>
                <w:sz w:val="22"/>
              </w:rPr>
            </w:pPr>
            <w:r w:rsidRPr="00DA3B18">
              <w:rPr>
                <w:sz w:val="22"/>
              </w:rPr>
              <w:t>7.10.2 Proponowane rozwiązania</w:t>
            </w:r>
          </w:p>
          <w:p w:rsidR="002539BE" w:rsidRPr="00DA3B18" w:rsidRDefault="002539BE" w:rsidP="002539BE">
            <w:pPr>
              <w:jc w:val="center"/>
              <w:rPr>
                <w:sz w:val="22"/>
              </w:rPr>
            </w:pPr>
            <w:r w:rsidRPr="00DA3B18">
              <w:rPr>
                <w:sz w:val="22"/>
              </w:rPr>
              <w:t>Lit B.</w:t>
            </w:r>
          </w:p>
          <w:p w:rsidR="002539BE" w:rsidRDefault="002539BE" w:rsidP="002539BE">
            <w:pPr>
              <w:jc w:val="center"/>
              <w:rPr>
                <w:sz w:val="22"/>
              </w:rPr>
            </w:pPr>
            <w:r>
              <w:rPr>
                <w:sz w:val="22"/>
              </w:rPr>
              <w:t xml:space="preserve">Wzmocnienie systemu edukacji i kształcenia w </w:t>
            </w:r>
            <w:r w:rsidRPr="00DA3B18">
              <w:rPr>
                <w:sz w:val="22"/>
              </w:rPr>
              <w:t>miastach</w:t>
            </w:r>
          </w:p>
          <w:p w:rsidR="002539BE" w:rsidRPr="00DA3B18" w:rsidRDefault="002539BE" w:rsidP="002539BE">
            <w:pPr>
              <w:rPr>
                <w:rFonts w:asciiTheme="minorHAnsi" w:hAnsiTheme="minorHAnsi" w:cstheme="minorHAnsi"/>
                <w:sz w:val="22"/>
                <w:szCs w:val="22"/>
              </w:rPr>
            </w:pPr>
          </w:p>
        </w:tc>
        <w:tc>
          <w:tcPr>
            <w:tcW w:w="4678" w:type="dxa"/>
            <w:shd w:val="clear" w:color="auto" w:fill="auto"/>
          </w:tcPr>
          <w:p w:rsidR="002539BE" w:rsidRDefault="002539BE" w:rsidP="002539BE">
            <w:pPr>
              <w:spacing w:after="120"/>
              <w:jc w:val="both"/>
              <w:rPr>
                <w:rFonts w:ascii="Calibri" w:hAnsi="Calibri" w:cs="Calibri"/>
                <w:sz w:val="22"/>
                <w:szCs w:val="22"/>
              </w:rPr>
            </w:pPr>
            <w:r>
              <w:rPr>
                <w:rFonts w:ascii="Calibri" w:hAnsi="Calibri" w:cs="Calibri"/>
                <w:sz w:val="22"/>
                <w:szCs w:val="22"/>
              </w:rPr>
              <w:t xml:space="preserve">Uwaga dotyczy poniższego fragmentu tekstu –  </w:t>
            </w:r>
            <w:r>
              <w:rPr>
                <w:rFonts w:ascii="Calibri" w:hAnsi="Calibri" w:cs="Calibri"/>
                <w:sz w:val="22"/>
                <w:szCs w:val="22"/>
              </w:rPr>
              <w:br/>
              <w:t>str. 120 (cyt.):</w:t>
            </w:r>
          </w:p>
          <w:p w:rsidR="002539BE" w:rsidRPr="00A06425" w:rsidRDefault="002539BE" w:rsidP="002539BE">
            <w:pPr>
              <w:jc w:val="both"/>
              <w:rPr>
                <w:rFonts w:asciiTheme="minorHAnsi" w:hAnsiTheme="minorHAnsi" w:cstheme="minorHAnsi"/>
                <w:sz w:val="22"/>
                <w:szCs w:val="22"/>
              </w:rPr>
            </w:pPr>
            <w:r>
              <w:t xml:space="preserve">Kształcenie kadr dla miast zaczyna się jednak nie na etapie szkoły wyższej, ale już na etapie edukacji szkolnej. W tym aspekcie system finansowania oświaty wymaga ustanowienia standardów adekwatnych do problemów, z jakimi zmagają się JST, które powinny obejmować m.in. warunki organizacyjne kształcenia uczniów (na przykład liczebność oddziału szkolnego, współczynnik liczby nauczycieli w przeliczeniu na oddział). Obecnie w ustawie o dochodach JST 102 nie ma odniesienia do standardów finansowania oświaty. Przykładem standardów rozwiązujących konkretne problemy w oświacie są projekty realizowane ze środków </w:t>
            </w:r>
            <w:r>
              <w:lastRenderedPageBreak/>
              <w:t>europejskich w ramach Programu Dostępność Plus pn. Dostępna szkoła czy Dostępna uczelnia. Ich założenia opierają się na niwelowaniu barier fizycznych i komunikacyjnych w dostępie do oświaty i edukacji na poziomie wyższym. Przygotowane modele dostępnej szkoły czy uczelni (na różnych poziomach) pozwalają na usuwanie barier w sposób systematyczny i zapewniający przewidywalność stosowanych rozwiązań w wymiarze technicznym, organizacyjnym czy edukacyjnym. Modele te mogą służyć jako gotowe wzorce do replikowania.</w:t>
            </w:r>
          </w:p>
        </w:tc>
        <w:tc>
          <w:tcPr>
            <w:tcW w:w="5812" w:type="dxa"/>
            <w:shd w:val="clear" w:color="auto" w:fill="auto"/>
          </w:tcPr>
          <w:p w:rsidR="002539BE" w:rsidRPr="00455C75" w:rsidRDefault="002539BE" w:rsidP="002539BE">
            <w:pPr>
              <w:jc w:val="center"/>
              <w:rPr>
                <w:szCs w:val="22"/>
              </w:rPr>
            </w:pPr>
            <w:r w:rsidRPr="00455C75">
              <w:rPr>
                <w:szCs w:val="22"/>
              </w:rPr>
              <w:lastRenderedPageBreak/>
              <w:t>Ministerstwo Edukacji i Nauki proponuje usunięcie tych zapisów.</w:t>
            </w:r>
          </w:p>
          <w:p w:rsidR="002539BE" w:rsidRPr="00455C75" w:rsidRDefault="002539BE" w:rsidP="002539BE">
            <w:pPr>
              <w:jc w:val="center"/>
              <w:rPr>
                <w:szCs w:val="22"/>
              </w:rPr>
            </w:pPr>
          </w:p>
          <w:p w:rsidR="002539BE" w:rsidRPr="00455C75" w:rsidRDefault="002539BE" w:rsidP="002539BE">
            <w:pPr>
              <w:jc w:val="both"/>
              <w:rPr>
                <w:szCs w:val="22"/>
              </w:rPr>
            </w:pPr>
            <w:r w:rsidRPr="00455C75">
              <w:rPr>
                <w:szCs w:val="22"/>
              </w:rPr>
              <w:t>Ustalenie standardów finansowania oświaty wymagało by gruntownej zmiany sposobu finansowania zadań oświatowych.</w:t>
            </w:r>
            <w:r>
              <w:rPr>
                <w:szCs w:val="22"/>
              </w:rPr>
              <w:t xml:space="preserve"> </w:t>
            </w:r>
            <w:r w:rsidRPr="00455C75">
              <w:rPr>
                <w:szCs w:val="22"/>
              </w:rPr>
              <w:t xml:space="preserve">Obecnie zadania oświatowe związane z prowadzeniem przez jednostki samorządu terytorialnego szkół i placówek oświatowych finansowane są z dochodów jednostek samorządu terytorialnego. Jednym z dochodów samorządów terytorialnych jest część oświatowa subwencji ogólnej (obok dotacji celowych z budżetu państwa i dochodów własnych). Kwoty subwencji oświatowej nie można wprost odnosić do zadań oświatowych nałożonych na jednostki samorządu terytorialnego. W obowiązującym systemie prawnym nie ma przepisu, z którego wynikałoby, iż budżet państwa gwarantuje w ramach części oświatowej subwencji ogólnej, środki na pokrycie wszystkich wydatków na </w:t>
            </w:r>
            <w:r w:rsidRPr="00455C75">
              <w:rPr>
                <w:szCs w:val="22"/>
              </w:rPr>
              <w:lastRenderedPageBreak/>
              <w:t>realizację zadań oświatowych jednostek samorządu terytorialnego.</w:t>
            </w:r>
          </w:p>
          <w:p w:rsidR="002539BE" w:rsidRPr="00455C75" w:rsidRDefault="002539BE" w:rsidP="002539BE">
            <w:pPr>
              <w:rPr>
                <w:szCs w:val="22"/>
              </w:rPr>
            </w:pPr>
          </w:p>
          <w:p w:rsidR="002539BE" w:rsidRPr="00455C75" w:rsidRDefault="002539BE" w:rsidP="002539BE">
            <w:pPr>
              <w:jc w:val="both"/>
              <w:rPr>
                <w:szCs w:val="22"/>
              </w:rPr>
            </w:pPr>
            <w:r w:rsidRPr="00455C75">
              <w:rPr>
                <w:szCs w:val="22"/>
              </w:rPr>
              <w:t>Ostateczny poziom wydatków ponoszonych przez jednostki samorządu terytorialnego na realizację zadań oświatowych jest konsekwencją podejmowanych przez te jednostki szeregu decyzji w zakresie systemu organizacji szkolnictwa w swojej jednostce. Budżet państwa nie może subwencjonować wszystkich kosztów realizacji zadań oświatowych. Z tego powodu zostały ustanowione samorządom inne źródła dochodów niż transfery z budżetu państwa (subwencje i dotacje), tj. m.in. udziały w PIT i CIT</w:t>
            </w:r>
          </w:p>
        </w:tc>
        <w:tc>
          <w:tcPr>
            <w:tcW w:w="1359" w:type="dxa"/>
          </w:tcPr>
          <w:p w:rsidR="002539BE" w:rsidRPr="00A06425" w:rsidRDefault="002539BE" w:rsidP="002539BE">
            <w:pPr>
              <w:jc w:val="center"/>
              <w:rPr>
                <w:rFonts w:asciiTheme="minorHAnsi" w:hAnsiTheme="minorHAnsi" w:cstheme="minorHAnsi"/>
                <w:sz w:val="22"/>
                <w:szCs w:val="22"/>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E21" w:rsidRDefault="00DC1E21" w:rsidP="00296E40">
      <w:r>
        <w:separator/>
      </w:r>
    </w:p>
  </w:endnote>
  <w:endnote w:type="continuationSeparator" w:id="0">
    <w:p w:rsidR="00DC1E21" w:rsidRDefault="00DC1E21" w:rsidP="00296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E21" w:rsidRDefault="00DC1E21" w:rsidP="00296E40">
      <w:r>
        <w:separator/>
      </w:r>
    </w:p>
  </w:footnote>
  <w:footnote w:type="continuationSeparator" w:id="0">
    <w:p w:rsidR="00DC1E21" w:rsidRDefault="00DC1E21" w:rsidP="00296E40">
      <w:r>
        <w:continuationSeparator/>
      </w:r>
    </w:p>
  </w:footnote>
  <w:footnote w:id="1">
    <w:p w:rsidR="00296E40" w:rsidRDefault="00296E40">
      <w:pPr>
        <w:pStyle w:val="Tekstprzypisudolnego"/>
        <w:rPr>
          <w:rFonts w:asciiTheme="minorHAnsi" w:hAnsiTheme="minorHAnsi" w:cstheme="minorHAnsi"/>
          <w:sz w:val="22"/>
          <w:szCs w:val="22"/>
        </w:rPr>
      </w:pPr>
      <w:r>
        <w:rPr>
          <w:rStyle w:val="Odwoanieprzypisudolnego"/>
          <w:rFonts w:asciiTheme="minorHAnsi" w:hAnsiTheme="minorHAnsi" w:cstheme="minorHAnsi"/>
          <w:sz w:val="22"/>
          <w:szCs w:val="22"/>
        </w:rPr>
        <w:footnoteRef/>
      </w:r>
      <w:r>
        <w:rPr>
          <w:rFonts w:asciiTheme="minorHAnsi" w:hAnsiTheme="minorHAnsi" w:cstheme="minorHAnsi"/>
          <w:sz w:val="22"/>
          <w:szCs w:val="22"/>
        </w:rPr>
        <w:t xml:space="preserve"> Zgodnie z przepisami rozporządzenia Ministra Edukacji i Nauki z dnia 8 lutego 2022 r. </w:t>
      </w:r>
      <w:r>
        <w:rPr>
          <w:rFonts w:asciiTheme="minorHAnsi" w:hAnsiTheme="minorHAnsi" w:cstheme="minorHAnsi"/>
          <w:i/>
          <w:sz w:val="22"/>
          <w:szCs w:val="22"/>
        </w:rPr>
        <w:t>zmieniającego rozporządzenie w sprawie szczególnych rozwiązań w okresie czasowego ograniczenia funkcjonowania jednostek systemu oświaty w związku z zapobieganiem, przeciwdziałaniem i zwalczaniem COVID-19</w:t>
      </w:r>
      <w:r>
        <w:rPr>
          <w:rFonts w:asciiTheme="minorHAnsi" w:hAnsiTheme="minorHAnsi" w:cstheme="minorHAnsi"/>
          <w:sz w:val="22"/>
          <w:szCs w:val="22"/>
        </w:rPr>
        <w:t xml:space="preserve"> (Dz.U. z 2022 r. poz. 339).</w:t>
      </w:r>
    </w:p>
  </w:footnote>
  <w:footnote w:id="2">
    <w:p w:rsidR="00296E40" w:rsidRDefault="00296E40">
      <w:pPr>
        <w:pStyle w:val="Tekstprzypisudolnego"/>
        <w:rPr>
          <w:rFonts w:asciiTheme="minorHAnsi" w:hAnsiTheme="minorHAnsi" w:cstheme="minorHAnsi"/>
          <w:sz w:val="22"/>
          <w:szCs w:val="22"/>
        </w:rPr>
      </w:pPr>
      <w:r>
        <w:rPr>
          <w:rStyle w:val="Odwoanieprzypisudolnego"/>
          <w:rFonts w:asciiTheme="minorHAnsi" w:hAnsiTheme="minorHAnsi" w:cstheme="minorHAnsi"/>
          <w:sz w:val="22"/>
          <w:szCs w:val="22"/>
        </w:rPr>
        <w:footnoteRef/>
      </w:r>
      <w:r>
        <w:rPr>
          <w:rFonts w:asciiTheme="minorHAnsi" w:hAnsiTheme="minorHAnsi" w:cstheme="minorHAnsi"/>
          <w:sz w:val="22"/>
          <w:szCs w:val="22"/>
        </w:rPr>
        <w:t xml:space="preserve"> </w:t>
      </w:r>
      <w:hyperlink r:id="rId1" w:history="1">
        <w:r>
          <w:rPr>
            <w:rStyle w:val="Hipercze"/>
            <w:rFonts w:asciiTheme="minorHAnsi" w:hAnsiTheme="minorHAnsi" w:cstheme="minorHAnsi"/>
            <w:sz w:val="22"/>
            <w:szCs w:val="22"/>
          </w:rPr>
          <w:t>https://www.sejm.gov.pl/Sejm9.nsf/PrzebiegProc.xsp?nr=2096</w:t>
        </w:r>
      </w:hyperlink>
    </w:p>
    <w:p w:rsidR="00296E40" w:rsidRDefault="00296E40">
      <w:pPr>
        <w:pStyle w:val="Tekstprzypisudolnego"/>
        <w:rPr>
          <w:rFonts w:asciiTheme="minorHAnsi" w:hAnsiTheme="minorHAnsi" w:cstheme="minorHAnsi"/>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8DCC1AF"/>
    <w:multiLevelType w:val="hybridMultilevel"/>
    <w:tmpl w:val="EF8316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11D95"/>
    <w:rsid w:val="00034258"/>
    <w:rsid w:val="0005673A"/>
    <w:rsid w:val="000E6CF6"/>
    <w:rsid w:val="000F4C1B"/>
    <w:rsid w:val="001024C2"/>
    <w:rsid w:val="00140BE8"/>
    <w:rsid w:val="0019648E"/>
    <w:rsid w:val="002539BE"/>
    <w:rsid w:val="002715B2"/>
    <w:rsid w:val="00296E40"/>
    <w:rsid w:val="003124D1"/>
    <w:rsid w:val="0033370E"/>
    <w:rsid w:val="003B4105"/>
    <w:rsid w:val="004D086F"/>
    <w:rsid w:val="005F6527"/>
    <w:rsid w:val="006705EC"/>
    <w:rsid w:val="006E16E9"/>
    <w:rsid w:val="006F7D6D"/>
    <w:rsid w:val="00710A8A"/>
    <w:rsid w:val="00807385"/>
    <w:rsid w:val="008704E0"/>
    <w:rsid w:val="008F6596"/>
    <w:rsid w:val="00943068"/>
    <w:rsid w:val="00944932"/>
    <w:rsid w:val="009B1661"/>
    <w:rsid w:val="009E5FDB"/>
    <w:rsid w:val="00A06425"/>
    <w:rsid w:val="00A27DDC"/>
    <w:rsid w:val="00AC7796"/>
    <w:rsid w:val="00B871B6"/>
    <w:rsid w:val="00C3376F"/>
    <w:rsid w:val="00C64B1B"/>
    <w:rsid w:val="00CD4836"/>
    <w:rsid w:val="00CD5EB0"/>
    <w:rsid w:val="00D2133B"/>
    <w:rsid w:val="00DC1E21"/>
    <w:rsid w:val="00E1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A6E0F"/>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Hipercze">
    <w:name w:val="Hyperlink"/>
    <w:basedOn w:val="Domylnaczcionkaakapitu"/>
    <w:uiPriority w:val="99"/>
    <w:unhideWhenUsed/>
    <w:rsid w:val="00296E40"/>
    <w:rPr>
      <w:color w:val="0563C1"/>
      <w:u w:val="single"/>
    </w:rPr>
  </w:style>
  <w:style w:type="character" w:customStyle="1" w:styleId="TekstprzypisudolnegoZnak">
    <w:name w:val="Tekst przypisu dolnego Znak"/>
    <w:aliases w:val="Znak Znak,Footnote Znak,Fußnote Znak,Podrozdzia3 Znak,Podrozdział Znak,Tekst przypisu Znak Znak Znak Znak Znak1,Tekst przypisu Znak Znak Znak Znak Znak Znak,Tekst przypisu Znak Znak Znak Znak Znak Znak Znak Znak,f Znak,o Znak"/>
    <w:basedOn w:val="Domylnaczcionkaakapitu"/>
    <w:link w:val="Tekstprzypisudolnego"/>
    <w:locked/>
    <w:rsid w:val="00296E40"/>
    <w:rPr>
      <w:rFonts w:ascii="Arial" w:hAnsi="Arial" w:cs="Arial"/>
    </w:rPr>
  </w:style>
  <w:style w:type="paragraph" w:styleId="Tekstprzypisudolnego">
    <w:name w:val="footnote text"/>
    <w:aliases w:val="Znak,Footnote,Fußnote,Podrozdzia3,Podrozdział,Tekst przypisu Znak Znak Znak Znak,Tekst przypisu Znak Znak Znak Znak Znak,Tekst przypisu Znak Znak Znak Znak Znak Znak Znak,f,ft,o"/>
    <w:basedOn w:val="Normalny"/>
    <w:link w:val="TekstprzypisudolnegoZnak"/>
    <w:unhideWhenUsed/>
    <w:rsid w:val="00296E40"/>
    <w:rPr>
      <w:rFonts w:ascii="Arial" w:hAnsi="Arial" w:cs="Arial"/>
      <w:sz w:val="20"/>
      <w:szCs w:val="20"/>
    </w:rPr>
  </w:style>
  <w:style w:type="character" w:customStyle="1" w:styleId="TekstprzypisudolnegoZnak1">
    <w:name w:val="Tekst przypisu dolnego Znak1"/>
    <w:basedOn w:val="Domylnaczcionkaakapitu"/>
    <w:rsid w:val="00296E40"/>
  </w:style>
  <w:style w:type="character" w:customStyle="1" w:styleId="menfontZnak">
    <w:name w:val="men font Znak"/>
    <w:link w:val="menfont"/>
    <w:locked/>
    <w:rsid w:val="00296E40"/>
    <w:rPr>
      <w:rFonts w:ascii="Arial" w:hAnsi="Arial" w:cs="Arial"/>
      <w:sz w:val="24"/>
      <w:szCs w:val="24"/>
    </w:rPr>
  </w:style>
  <w:style w:type="paragraph" w:customStyle="1" w:styleId="menfont">
    <w:name w:val="men font"/>
    <w:basedOn w:val="Normalny"/>
    <w:link w:val="menfontZnak"/>
    <w:rsid w:val="00296E40"/>
    <w:rPr>
      <w:rFonts w:ascii="Arial" w:hAnsi="Arial" w:cs="Arial"/>
    </w:rPr>
  </w:style>
  <w:style w:type="character" w:styleId="Odwoanieprzypisudolnego">
    <w:name w:val="footnote reference"/>
    <w:aliases w:val="Odwołanie przypisu,-E Fußnotenzeichen,E FNZ,EN Footnote Reference,Exposant 3 Point,Footnote Reference Number,Footnote reference number,Footnote symbol,Footnote#,Ref,SUPERS,Times 10 Point,de nota al pie,note TESI"/>
    <w:basedOn w:val="Domylnaczcionkaakapitu"/>
    <w:unhideWhenUsed/>
    <w:qFormat/>
    <w:rsid w:val="00296E40"/>
    <w:rPr>
      <w:vertAlign w:val="superscript"/>
    </w:rPr>
  </w:style>
  <w:style w:type="paragraph" w:customStyle="1" w:styleId="Default">
    <w:name w:val="Default"/>
    <w:rsid w:val="00D2133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sejm.gov.pl/Sejm9.nsf/PrzebiegProc.xsp?nr=209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1139</Words>
  <Characters>6836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Wasilewska Agnieszka</cp:lastModifiedBy>
  <cp:revision>6</cp:revision>
  <dcterms:created xsi:type="dcterms:W3CDTF">2022-04-20T12:25:00Z</dcterms:created>
  <dcterms:modified xsi:type="dcterms:W3CDTF">2022-04-21T06:16:00Z</dcterms:modified>
</cp:coreProperties>
</file>